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F677" w14:textId="77777777" w:rsidR="002F577D" w:rsidRDefault="00000000">
      <w:pPr>
        <w:spacing w:after="189" w:line="259" w:lineRule="auto"/>
        <w:ind w:left="59" w:firstLine="0"/>
        <w:jc w:val="center"/>
      </w:pPr>
      <w:r>
        <w:rPr>
          <w:noProof/>
        </w:rPr>
        <w:drawing>
          <wp:inline distT="0" distB="0" distL="0" distR="0" wp14:anchorId="50202C93" wp14:editId="7D5AE9D3">
            <wp:extent cx="2609215" cy="1057275"/>
            <wp:effectExtent l="0" t="0" r="0" b="0"/>
            <wp:docPr id="364" name="Picture 36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64" name="Picture 364"/>
                    <pic:cNvPicPr/>
                  </pic:nvPicPr>
                  <pic:blipFill>
                    <a:blip r:embed="rId7"/>
                    <a:stretch>
                      <a:fillRect/>
                    </a:stretch>
                  </pic:blipFill>
                  <pic:spPr>
                    <a:xfrm>
                      <a:off x="0" y="0"/>
                      <a:ext cx="2609215" cy="1057275"/>
                    </a:xfrm>
                    <a:prstGeom prst="rect">
                      <a:avLst/>
                    </a:prstGeom>
                  </pic:spPr>
                </pic:pic>
              </a:graphicData>
            </a:graphic>
          </wp:inline>
        </w:drawing>
      </w:r>
      <w:r>
        <w:rPr>
          <w:rFonts w:ascii="Times New Roman" w:eastAsia="Times New Roman" w:hAnsi="Times New Roman" w:cs="Times New Roman"/>
          <w:sz w:val="24"/>
        </w:rPr>
        <w:t xml:space="preserve"> </w:t>
      </w:r>
    </w:p>
    <w:p w14:paraId="5F0F05CD" w14:textId="77777777" w:rsidR="002F577D" w:rsidRDefault="00000000">
      <w:pPr>
        <w:pBdr>
          <w:top w:val="single" w:sz="4" w:space="0" w:color="000000"/>
          <w:left w:val="single" w:sz="4" w:space="0" w:color="000000"/>
          <w:bottom w:val="single" w:sz="4" w:space="0" w:color="000000"/>
          <w:right w:val="single" w:sz="4" w:space="0" w:color="000000"/>
        </w:pBdr>
        <w:spacing w:after="0" w:line="259" w:lineRule="auto"/>
        <w:ind w:left="0" w:right="3" w:firstLine="0"/>
        <w:jc w:val="center"/>
      </w:pPr>
      <w:r>
        <w:rPr>
          <w:sz w:val="44"/>
        </w:rPr>
        <w:t xml:space="preserve">ENROLMENT POLICY </w:t>
      </w:r>
    </w:p>
    <w:p w14:paraId="5E5E69C1" w14:textId="77777777" w:rsidR="002F577D" w:rsidRDefault="00000000">
      <w:pPr>
        <w:spacing w:after="0" w:line="259" w:lineRule="auto"/>
        <w:ind w:left="0" w:firstLine="0"/>
      </w:pPr>
      <w:r>
        <w:rPr>
          <w:sz w:val="24"/>
        </w:rPr>
        <w:t xml:space="preserve"> </w:t>
      </w:r>
    </w:p>
    <w:p w14:paraId="670BFA9C" w14:textId="77777777" w:rsidR="002F577D" w:rsidRDefault="00000000">
      <w:pPr>
        <w:spacing w:after="25" w:line="234" w:lineRule="auto"/>
        <w:ind w:right="144"/>
      </w:pPr>
      <w:r>
        <w:rPr>
          <w:noProof/>
        </w:rPr>
        <w:drawing>
          <wp:anchor distT="0" distB="0" distL="114300" distR="114300" simplePos="0" relativeHeight="251658240" behindDoc="0" locked="0" layoutInCell="1" allowOverlap="0" wp14:anchorId="23C94F78" wp14:editId="7CFA8655">
            <wp:simplePos x="0" y="0"/>
            <wp:positionH relativeFrom="column">
              <wp:posOffset>0</wp:posOffset>
            </wp:positionH>
            <wp:positionV relativeFrom="paragraph">
              <wp:posOffset>2559</wp:posOffset>
            </wp:positionV>
            <wp:extent cx="795674" cy="798142"/>
            <wp:effectExtent l="0" t="0" r="0" b="0"/>
            <wp:wrapSquare wrapText="bothSides"/>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8"/>
                    <a:stretch>
                      <a:fillRect/>
                    </a:stretch>
                  </pic:blipFill>
                  <pic:spPr>
                    <a:xfrm>
                      <a:off x="0" y="0"/>
                      <a:ext cx="795674" cy="798142"/>
                    </a:xfrm>
                    <a:prstGeom prst="rect">
                      <a:avLst/>
                    </a:prstGeom>
                  </pic:spPr>
                </pic:pic>
              </a:graphicData>
            </a:graphic>
          </wp:anchor>
        </w:drawing>
      </w:r>
      <w:r>
        <w:rPr>
          <w:rFonts w:ascii="Times New Roman" w:eastAsia="Times New Roman" w:hAnsi="Times New Roman" w:cs="Times New Roman"/>
          <w:b/>
          <w:sz w:val="24"/>
        </w:rPr>
        <w:t xml:space="preserve">Help for non-English </w:t>
      </w:r>
      <w:proofErr w:type="gramStart"/>
      <w:r>
        <w:rPr>
          <w:rFonts w:ascii="Times New Roman" w:eastAsia="Times New Roman" w:hAnsi="Times New Roman" w:cs="Times New Roman"/>
          <w:b/>
          <w:sz w:val="24"/>
        </w:rPr>
        <w:t>speakers</w:t>
      </w:r>
      <w:proofErr w:type="gramEnd"/>
      <w:r>
        <w:rPr>
          <w:rFonts w:ascii="Times New Roman" w:eastAsia="Times New Roman" w:hAnsi="Times New Roman" w:cs="Times New Roman"/>
          <w:b/>
          <w:sz w:val="24"/>
        </w:rPr>
        <w:t xml:space="preserve"> </w:t>
      </w:r>
    </w:p>
    <w:p w14:paraId="519A2948" w14:textId="77777777" w:rsidR="002F577D" w:rsidRDefault="00000000">
      <w:pPr>
        <w:spacing w:after="49"/>
      </w:pPr>
      <w:r>
        <w:rPr>
          <w:rFonts w:ascii="Times New Roman" w:eastAsia="Times New Roman" w:hAnsi="Times New Roman" w:cs="Times New Roman"/>
          <w:sz w:val="24"/>
        </w:rPr>
        <w:t xml:space="preserve">If you need help to understand the information in this </w:t>
      </w:r>
      <w:proofErr w:type="gramStart"/>
      <w:r>
        <w:rPr>
          <w:rFonts w:ascii="Times New Roman" w:eastAsia="Times New Roman" w:hAnsi="Times New Roman" w:cs="Times New Roman"/>
          <w:sz w:val="24"/>
        </w:rPr>
        <w:t>policy</w:t>
      </w:r>
      <w:proofErr w:type="gramEnd"/>
      <w:r>
        <w:rPr>
          <w:rFonts w:ascii="Times New Roman" w:eastAsia="Times New Roman" w:hAnsi="Times New Roman" w:cs="Times New Roman"/>
          <w:sz w:val="24"/>
        </w:rPr>
        <w:t xml:space="preserve"> please contact 03 8560 0600</w:t>
      </w:r>
      <w:r>
        <w:rPr>
          <w:rFonts w:ascii="Times New Roman" w:eastAsia="Times New Roman" w:hAnsi="Times New Roman" w:cs="Times New Roman"/>
          <w:b/>
          <w:sz w:val="24"/>
        </w:rPr>
        <w:t xml:space="preserve"> </w:t>
      </w:r>
    </w:p>
    <w:p w14:paraId="222E9D9A" w14:textId="77777777" w:rsidR="002F577D" w:rsidRDefault="00000000">
      <w:pPr>
        <w:spacing w:after="96" w:line="259" w:lineRule="auto"/>
        <w:ind w:left="1440" w:firstLine="0"/>
      </w:pPr>
      <w:r>
        <w:rPr>
          <w:rFonts w:ascii="Arial" w:eastAsia="Arial" w:hAnsi="Arial" w:cs="Arial"/>
          <w:b/>
          <w:color w:val="E57100"/>
          <w:sz w:val="26"/>
        </w:rPr>
        <w:t xml:space="preserve"> </w:t>
      </w:r>
    </w:p>
    <w:p w14:paraId="7160ECBE" w14:textId="77777777" w:rsidR="002F577D" w:rsidRDefault="00000000">
      <w:pPr>
        <w:spacing w:after="101" w:line="259" w:lineRule="auto"/>
        <w:ind w:left="1440" w:firstLine="0"/>
      </w:pPr>
      <w:r>
        <w:rPr>
          <w:rFonts w:ascii="Arial" w:eastAsia="Arial" w:hAnsi="Arial" w:cs="Arial"/>
          <w:b/>
          <w:color w:val="E57100"/>
          <w:sz w:val="26"/>
        </w:rPr>
        <w:t xml:space="preserve"> </w:t>
      </w:r>
    </w:p>
    <w:p w14:paraId="2E672006" w14:textId="77777777" w:rsidR="002F577D" w:rsidRDefault="00000000">
      <w:pPr>
        <w:pStyle w:val="Heading1"/>
        <w:ind w:left="-5"/>
      </w:pPr>
      <w:r>
        <w:t xml:space="preserve">BACKGROUND </w:t>
      </w:r>
    </w:p>
    <w:p w14:paraId="45444857" w14:textId="77777777" w:rsidR="002F577D" w:rsidRDefault="00000000">
      <w:pPr>
        <w:ind w:left="-5"/>
      </w:pPr>
      <w:r>
        <w:t xml:space="preserve">Clyde Secondary College is a Victorian government supported inclusion school.  </w:t>
      </w:r>
    </w:p>
    <w:p w14:paraId="67981A5A" w14:textId="77777777" w:rsidR="002F577D" w:rsidRDefault="00000000">
      <w:pPr>
        <w:ind w:left="-5"/>
      </w:pPr>
      <w:r>
        <w:t xml:space="preserve">By law in Victoria all children from the age of 6 up until they turn 17 years must be enrolled at a registered school or registered for home schooling unless they have a reasonable excuse. School participation maximises life opportunities for children and young people by providing them with a comprehensive educational program and access to support networks. It also helps to develop important skills, knowledge and values that set them up for further learning and active participation in their local community. </w:t>
      </w:r>
    </w:p>
    <w:p w14:paraId="5137EC59" w14:textId="77777777" w:rsidR="002F577D" w:rsidRDefault="00000000">
      <w:pPr>
        <w:ind w:left="-5"/>
      </w:pPr>
      <w:r>
        <w:t xml:space="preserve">Supported inclusion schools are local government schools that have some additional accessibility facilities that assist them to implement a model of education provision and support for a higher proportion of students with a disability among the general student population.  Supported inclusion schools also have enrolment policies that allow them to prioritise enrolment of students with disability who live outside the school zone, provided they meet specialist enrolment criteria. These features support students with disability to attend a school closer to home and study alongside students from their neighbourhood. </w:t>
      </w:r>
    </w:p>
    <w:p w14:paraId="6973039F" w14:textId="77777777" w:rsidR="002F577D" w:rsidRDefault="00000000">
      <w:pPr>
        <w:pStyle w:val="Heading2"/>
        <w:ind w:left="-5"/>
      </w:pPr>
      <w:r>
        <w:t xml:space="preserve">Purpose </w:t>
      </w:r>
    </w:p>
    <w:p w14:paraId="7C5EDD2D" w14:textId="77777777" w:rsidR="002F577D" w:rsidRDefault="00000000">
      <w:pPr>
        <w:ind w:left="-5"/>
      </w:pPr>
      <w:r>
        <w:t xml:space="preserve">This policy specifies the enrolment criteria for students seeking enrolment at Clyde Secondary College and the evidence required to support applications for enrolment. </w:t>
      </w:r>
    </w:p>
    <w:p w14:paraId="5E57EF32" w14:textId="77777777" w:rsidR="002F577D" w:rsidRDefault="00000000">
      <w:pPr>
        <w:pStyle w:val="Heading2"/>
        <w:ind w:left="-5"/>
      </w:pPr>
      <w:r>
        <w:t xml:space="preserve">Scope </w:t>
      </w:r>
    </w:p>
    <w:p w14:paraId="6E804813" w14:textId="77777777" w:rsidR="002F577D" w:rsidRDefault="00000000">
      <w:pPr>
        <w:spacing w:after="0" w:line="348" w:lineRule="auto"/>
        <w:ind w:left="-5"/>
      </w:pPr>
      <w:r>
        <w:t xml:space="preserve">Clyde Secondary College is a designated neighbourhood school with a designated neighbourhood zone (school zone).  </w:t>
      </w:r>
      <w:r>
        <w:rPr>
          <w:rFonts w:ascii="Times New Roman" w:eastAsia="Times New Roman" w:hAnsi="Times New Roman" w:cs="Times New Roman"/>
          <w:sz w:val="24"/>
        </w:rPr>
        <w:t xml:space="preserve">This policy applies to: </w:t>
      </w:r>
    </w:p>
    <w:p w14:paraId="4A59E4DB" w14:textId="77777777" w:rsidR="002F577D" w:rsidRDefault="00000000">
      <w:pPr>
        <w:numPr>
          <w:ilvl w:val="0"/>
          <w:numId w:val="1"/>
        </w:numPr>
        <w:spacing w:after="114"/>
        <w:ind w:hanging="550"/>
      </w:pPr>
      <w:r>
        <w:rPr>
          <w:rFonts w:ascii="Times New Roman" w:eastAsia="Times New Roman" w:hAnsi="Times New Roman" w:cs="Times New Roman"/>
          <w:sz w:val="24"/>
        </w:rPr>
        <w:t xml:space="preserve">students seeking enrolment who live within or outside the school zone; and </w:t>
      </w:r>
    </w:p>
    <w:p w14:paraId="75AD8B62" w14:textId="77777777" w:rsidR="002F577D" w:rsidRDefault="00000000">
      <w:pPr>
        <w:numPr>
          <w:ilvl w:val="0"/>
          <w:numId w:val="1"/>
        </w:numPr>
        <w:spacing w:after="114"/>
        <w:ind w:hanging="550"/>
      </w:pPr>
      <w:r>
        <w:rPr>
          <w:rFonts w:ascii="Times New Roman" w:eastAsia="Times New Roman" w:hAnsi="Times New Roman" w:cs="Times New Roman"/>
          <w:sz w:val="24"/>
        </w:rPr>
        <w:t xml:space="preserve">students with disability who live outside the zone and seek priority enrolment under the specialist enrolment criteria. </w:t>
      </w:r>
    </w:p>
    <w:p w14:paraId="1DC92909" w14:textId="77777777" w:rsidR="002F577D" w:rsidRDefault="00000000">
      <w:pPr>
        <w:spacing w:after="120" w:line="259" w:lineRule="auto"/>
        <w:ind w:left="0" w:firstLine="0"/>
      </w:pPr>
      <w:r>
        <w:rPr>
          <w:rFonts w:ascii="Arial" w:eastAsia="Arial" w:hAnsi="Arial" w:cs="Arial"/>
          <w:sz w:val="24"/>
        </w:rPr>
        <w:t xml:space="preserve"> </w:t>
      </w:r>
    </w:p>
    <w:p w14:paraId="4938109E" w14:textId="77777777" w:rsidR="002F577D" w:rsidRDefault="00000000">
      <w:pPr>
        <w:pStyle w:val="Heading1"/>
        <w:ind w:left="-5"/>
      </w:pPr>
      <w:r>
        <w:t xml:space="preserve">ENROLMENT CRITERIA AND PRIORITY ORDER OF PLACEMENT </w:t>
      </w:r>
    </w:p>
    <w:p w14:paraId="06E248C8" w14:textId="77777777" w:rsidR="002F577D" w:rsidRDefault="00000000">
      <w:pPr>
        <w:ind w:left="-5"/>
      </w:pPr>
      <w:r>
        <w:t xml:space="preserve">School aged students who reside permanently within the school zone are eligible to enrol at Clyde Secondary College. All students who reside permanently within the school zone are guaranteed a place. </w:t>
      </w:r>
    </w:p>
    <w:p w14:paraId="320EC9CB" w14:textId="77777777" w:rsidR="002F577D" w:rsidRDefault="00000000">
      <w:pPr>
        <w:ind w:left="-5"/>
      </w:pPr>
      <w:r>
        <w:t xml:space="preserve">Students may also apply for a place at Clyde Secondary College if they live outside the school zone. These students may be enrolled if there is sufficient accommodation at the school, or if the request for enrolment aligns with the school's enrolment management plan (if they have one). </w:t>
      </w:r>
    </w:p>
    <w:p w14:paraId="7C603FDE" w14:textId="77777777" w:rsidR="002F577D" w:rsidRDefault="00000000">
      <w:pPr>
        <w:pStyle w:val="Heading2"/>
        <w:ind w:left="-5"/>
      </w:pPr>
      <w:r>
        <w:t xml:space="preserve">Specialist enrolment criteria </w:t>
      </w:r>
    </w:p>
    <w:p w14:paraId="137F20A9" w14:textId="77777777" w:rsidR="002F577D" w:rsidRDefault="00000000">
      <w:pPr>
        <w:spacing w:after="0"/>
        <w:ind w:left="-5"/>
      </w:pPr>
      <w:r>
        <w:t xml:space="preserve">The following specialist enrolment criteria have been specified and approved by the Regional Director, </w:t>
      </w:r>
      <w:proofErr w:type="gramStart"/>
      <w:r>
        <w:t>South East</w:t>
      </w:r>
      <w:proofErr w:type="gramEnd"/>
      <w:r>
        <w:t xml:space="preserve"> Victoria Region (as the Minister’s delegate), under section 2.2.16(b) of the </w:t>
      </w:r>
      <w:r>
        <w:rPr>
          <w:i/>
        </w:rPr>
        <w:t>Education and Training Reform Act 2006</w:t>
      </w:r>
      <w:r>
        <w:t xml:space="preserve"> </w:t>
      </w:r>
    </w:p>
    <w:p w14:paraId="0F14B45C" w14:textId="77777777" w:rsidR="002F577D" w:rsidRDefault="00000000">
      <w:pPr>
        <w:ind w:left="-5"/>
      </w:pPr>
      <w:r>
        <w:t xml:space="preserve">(Vic).  </w:t>
      </w:r>
    </w:p>
    <w:p w14:paraId="2857F368" w14:textId="77777777" w:rsidR="002F577D" w:rsidRDefault="00000000">
      <w:pPr>
        <w:spacing w:after="114"/>
      </w:pPr>
      <w:r>
        <w:rPr>
          <w:rFonts w:ascii="Times New Roman" w:eastAsia="Times New Roman" w:hAnsi="Times New Roman" w:cs="Times New Roman"/>
          <w:sz w:val="24"/>
        </w:rPr>
        <w:lastRenderedPageBreak/>
        <w:t xml:space="preserve">Students seeking priority enrolment under the specialist enrolment criteria must have a diagnosis for </w:t>
      </w:r>
      <w:r>
        <w:rPr>
          <w:rFonts w:ascii="Times New Roman" w:eastAsia="Times New Roman" w:hAnsi="Times New Roman" w:cs="Times New Roman"/>
          <w:b/>
          <w:sz w:val="24"/>
        </w:rPr>
        <w:t xml:space="preserve">intellectual disability </w:t>
      </w:r>
      <w:r>
        <w:rPr>
          <w:rFonts w:ascii="Times New Roman" w:eastAsia="Times New Roman" w:hAnsi="Times New Roman" w:cs="Times New Roman"/>
          <w:sz w:val="24"/>
        </w:rPr>
        <w:t xml:space="preserve">from a registered psychologist evidenced by: </w:t>
      </w:r>
    </w:p>
    <w:p w14:paraId="5121A948" w14:textId="77777777" w:rsidR="002F577D" w:rsidRDefault="00000000">
      <w:pPr>
        <w:numPr>
          <w:ilvl w:val="0"/>
          <w:numId w:val="2"/>
        </w:numPr>
        <w:spacing w:after="48" w:line="251" w:lineRule="auto"/>
        <w:ind w:left="1198" w:right="135" w:hanging="514"/>
      </w:pPr>
      <w:r>
        <w:rPr>
          <w:rFonts w:ascii="Times New Roman" w:eastAsia="Times New Roman" w:hAnsi="Times New Roman" w:cs="Times New Roman"/>
          <w:color w:val="262626"/>
          <w:sz w:val="24"/>
        </w:rPr>
        <w:t xml:space="preserve">sub-average general intellectual functioning which is demonstrated by a full-scale score of two standard deviations or more below the mean score on a standardised individual test of general intelligence, for example a full-scale score of 70 or below on one of the recommended standardised individual tests of intelligence; and </w:t>
      </w:r>
    </w:p>
    <w:p w14:paraId="13681A75" w14:textId="77777777" w:rsidR="002F577D" w:rsidRDefault="00000000">
      <w:pPr>
        <w:numPr>
          <w:ilvl w:val="0"/>
          <w:numId w:val="2"/>
        </w:numPr>
        <w:spacing w:after="48" w:line="251" w:lineRule="auto"/>
        <w:ind w:left="1198" w:right="135" w:hanging="514"/>
      </w:pPr>
      <w:r>
        <w:rPr>
          <w:rFonts w:ascii="Times New Roman" w:eastAsia="Times New Roman" w:hAnsi="Times New Roman" w:cs="Times New Roman"/>
          <w:color w:val="262626"/>
          <w:sz w:val="24"/>
        </w:rPr>
        <w:t>significant deficits in adaptive behaviour established by a composite score of two standard deviations or more below the mean on an approved standardised</w:t>
      </w:r>
      <w:r>
        <w:rPr>
          <w:rFonts w:ascii="Arial" w:eastAsia="Arial" w:hAnsi="Arial" w:cs="Arial"/>
          <w:color w:val="262626"/>
          <w:sz w:val="24"/>
        </w:rPr>
        <w:t xml:space="preserve"> </w:t>
      </w:r>
      <w:r>
        <w:rPr>
          <w:rFonts w:ascii="Times New Roman" w:eastAsia="Times New Roman" w:hAnsi="Times New Roman" w:cs="Times New Roman"/>
          <w:color w:val="262626"/>
          <w:sz w:val="24"/>
        </w:rPr>
        <w:t xml:space="preserve">test of adaptive behaviour, for example a Vineland Adaptive Behaviour Scales composite score of 70 or </w:t>
      </w:r>
      <w:proofErr w:type="gramStart"/>
      <w:r>
        <w:rPr>
          <w:rFonts w:ascii="Times New Roman" w:eastAsia="Times New Roman" w:hAnsi="Times New Roman" w:cs="Times New Roman"/>
          <w:color w:val="262626"/>
          <w:sz w:val="24"/>
        </w:rPr>
        <w:t>below;  and</w:t>
      </w:r>
      <w:proofErr w:type="gramEnd"/>
      <w:r>
        <w:rPr>
          <w:rFonts w:ascii="Times New Roman" w:eastAsia="Times New Roman" w:hAnsi="Times New Roman" w:cs="Times New Roman"/>
          <w:color w:val="262626"/>
          <w:sz w:val="24"/>
        </w:rPr>
        <w:t xml:space="preserve"> </w:t>
      </w:r>
    </w:p>
    <w:p w14:paraId="1BCBB22E" w14:textId="77777777" w:rsidR="002F577D" w:rsidRDefault="00000000">
      <w:pPr>
        <w:numPr>
          <w:ilvl w:val="0"/>
          <w:numId w:val="2"/>
        </w:numPr>
        <w:spacing w:after="48" w:line="251" w:lineRule="auto"/>
        <w:ind w:left="1198" w:right="135" w:hanging="514"/>
      </w:pPr>
      <w:r>
        <w:rPr>
          <w:rFonts w:ascii="Times New Roman" w:eastAsia="Times New Roman" w:hAnsi="Times New Roman" w:cs="Times New Roman"/>
          <w:color w:val="262626"/>
          <w:sz w:val="24"/>
        </w:rPr>
        <w:t>a history and evidence of an ongoing problem with an expectation of continuation during the school years.</w:t>
      </w:r>
      <w:r>
        <w:rPr>
          <w:rFonts w:ascii="Times New Roman" w:eastAsia="Times New Roman" w:hAnsi="Times New Roman" w:cs="Times New Roman"/>
          <w:sz w:val="24"/>
        </w:rPr>
        <w:t xml:space="preserve"> </w:t>
      </w:r>
    </w:p>
    <w:p w14:paraId="707F409C" w14:textId="77777777" w:rsidR="002F577D" w:rsidRDefault="00000000">
      <w:pPr>
        <w:ind w:left="-5"/>
      </w:pPr>
      <w:r>
        <w:t xml:space="preserve">Applications from out-of-zone students with disability who do not meet the above criteria may be prioritised on a case-by-case basis by the region, in consultation with the principal, considering the student’s education and support needs. Such applications can only be prioritised with approval from the Regional Director, </w:t>
      </w:r>
      <w:proofErr w:type="gramStart"/>
      <w:r>
        <w:t>South East</w:t>
      </w:r>
      <w:proofErr w:type="gramEnd"/>
      <w:r>
        <w:t xml:space="preserve"> Victoria Region (or delegate). For more information, see </w:t>
      </w:r>
      <w:hyperlink r:id="rId9">
        <w:r>
          <w:rPr>
            <w:color w:val="0000FF"/>
            <w:u w:val="single" w:color="0000FF"/>
          </w:rPr>
          <w:t>Enrolment in specialist schools</w:t>
        </w:r>
      </w:hyperlink>
      <w:hyperlink r:id="rId10">
        <w:r>
          <w:t>.</w:t>
        </w:r>
      </w:hyperlink>
      <w:r>
        <w:t xml:space="preserve"> </w:t>
      </w:r>
    </w:p>
    <w:p w14:paraId="5CDE9FD3" w14:textId="77777777" w:rsidR="002F577D" w:rsidRDefault="00000000">
      <w:pPr>
        <w:pStyle w:val="Heading2"/>
        <w:ind w:left="-5"/>
      </w:pPr>
      <w:r>
        <w:t xml:space="preserve">Priority order of placement </w:t>
      </w:r>
    </w:p>
    <w:p w14:paraId="63A644EE" w14:textId="77777777" w:rsidR="002F577D" w:rsidRDefault="00000000">
      <w:pPr>
        <w:ind w:left="-5"/>
      </w:pPr>
      <w:r>
        <w:t xml:space="preserve">If there is not sufficient accommodation to accept all applications from students living outside the zone, Clyde Secondary College will prioritise applications from students who meet the specialist enrolment criteria outlined above. </w:t>
      </w:r>
    </w:p>
    <w:p w14:paraId="7CAF5226" w14:textId="77777777" w:rsidR="002F577D" w:rsidRDefault="00000000">
      <w:pPr>
        <w:ind w:left="-5"/>
      </w:pPr>
      <w:r>
        <w:t xml:space="preserve">If there is sufficient accommodation to accept all applications from students who meet the specialist enrolment criteria, all other applications from students living outside the zone will be prioritised in line with the department’s </w:t>
      </w:r>
      <w:hyperlink r:id="rId11">
        <w:r>
          <w:rPr>
            <w:color w:val="0000FF"/>
            <w:u w:val="single" w:color="0000FF"/>
          </w:rPr>
          <w:t>Placement Policy</w:t>
        </w:r>
      </w:hyperlink>
      <w:hyperlink r:id="rId12">
        <w:r>
          <w:t>.</w:t>
        </w:r>
      </w:hyperlink>
      <w:r>
        <w:t xml:space="preserve"> If there is not sufficient accommodation to accept all applications from students living outside the zone who meet the specialist enrolment criteria, these applications will be prioritised in line with the department’s </w:t>
      </w:r>
      <w:hyperlink r:id="rId13">
        <w:r>
          <w:rPr>
            <w:color w:val="0000FF"/>
            <w:u w:val="single" w:color="0000FF"/>
          </w:rPr>
          <w:t>Placement Policy</w:t>
        </w:r>
      </w:hyperlink>
      <w:hyperlink r:id="rId14">
        <w:r>
          <w:t>.</w:t>
        </w:r>
      </w:hyperlink>
      <w:r>
        <w:t xml:space="preserve"> </w:t>
      </w:r>
    </w:p>
    <w:p w14:paraId="6CEF6706" w14:textId="77777777" w:rsidR="002F577D" w:rsidRDefault="00000000">
      <w:pPr>
        <w:spacing w:after="246"/>
        <w:ind w:left="-5"/>
      </w:pPr>
      <w:r>
        <w:t>Clyde Secondary College may stop prioritising applications from out-of-zone students who meet the specialist enrolment criteria if the total number of enrolled students with disability who require extensive adjustments</w:t>
      </w:r>
      <w:r>
        <w:rPr>
          <w:vertAlign w:val="superscript"/>
        </w:rPr>
        <w:footnoteReference w:id="1"/>
      </w:r>
      <w:r>
        <w:t xml:space="preserve"> exceeds 10% of the current student population. This will ensure that Clyde Secondary College can continue to offer the highest quality education and support for all students, including students with disability. Should this condition come into effect, all applications from students who live outside the zone (including those who meet the specialist enrolment criteria) will be prioritised in line with the department’s </w:t>
      </w:r>
      <w:hyperlink r:id="rId15">
        <w:r>
          <w:rPr>
            <w:color w:val="0000FF"/>
            <w:u w:val="single" w:color="0000FF"/>
          </w:rPr>
          <w:t>Placement Policy</w:t>
        </w:r>
      </w:hyperlink>
      <w:hyperlink r:id="rId16">
        <w:r>
          <w:t>.</w:t>
        </w:r>
      </w:hyperlink>
      <w:r>
        <w:rPr>
          <w:color w:val="5B9BD5"/>
          <w:sz w:val="24"/>
        </w:rPr>
        <w:t xml:space="preserve"> </w:t>
      </w:r>
    </w:p>
    <w:p w14:paraId="37504EAF" w14:textId="77777777" w:rsidR="002F577D" w:rsidRDefault="00000000">
      <w:pPr>
        <w:pStyle w:val="Heading2"/>
        <w:ind w:left="-5"/>
      </w:pPr>
      <w:r>
        <w:t xml:space="preserve">Evidence and supporting information requirements for the specialist enrolment </w:t>
      </w:r>
      <w:proofErr w:type="gramStart"/>
      <w:r>
        <w:t>criteria</w:t>
      </w:r>
      <w:proofErr w:type="gramEnd"/>
      <w:r>
        <w:rPr>
          <w:sz w:val="26"/>
        </w:rPr>
        <w:t xml:space="preserve"> </w:t>
      </w:r>
    </w:p>
    <w:p w14:paraId="1EE77302" w14:textId="77777777" w:rsidR="002F577D" w:rsidRDefault="00000000">
      <w:pPr>
        <w:ind w:left="-5"/>
      </w:pPr>
      <w:r>
        <w:t xml:space="preserve">To support a student’s application for enrolment under the specialist enrolment criteria, a signed psychologist’s report from within the last 24 months reporting the results of an IQ test and an assessment of adaptive behaviour is required. </w:t>
      </w:r>
    </w:p>
    <w:p w14:paraId="3033C8A1" w14:textId="77777777" w:rsidR="002F577D" w:rsidRDefault="00000000">
      <w:pPr>
        <w:ind w:left="-5"/>
      </w:pPr>
      <w:r>
        <w:t xml:space="preserve">The department provides assessment services to help supported inclusion schools determine whether the student meets the specialist enrolment criteria. The department’s regional offices also play a role in helping schools with enrolment processes. </w:t>
      </w:r>
      <w:r>
        <w:rPr>
          <w:sz w:val="18"/>
        </w:rPr>
        <w:t xml:space="preserve"> </w:t>
      </w:r>
    </w:p>
    <w:p w14:paraId="4DA4851B" w14:textId="77777777" w:rsidR="002F577D" w:rsidRDefault="00000000">
      <w:pPr>
        <w:spacing w:after="1216" w:line="234" w:lineRule="auto"/>
        <w:ind w:right="144"/>
      </w:pPr>
      <w:r>
        <w:rPr>
          <w:rFonts w:ascii="Times New Roman" w:eastAsia="Times New Roman" w:hAnsi="Times New Roman" w:cs="Times New Roman"/>
          <w:b/>
          <w:sz w:val="24"/>
        </w:rPr>
        <w:t>NOTE: Enrolment applications may not be successful if the requested documentation is not provided or is invalid.</w:t>
      </w:r>
      <w:r>
        <w:rPr>
          <w:rFonts w:ascii="Times New Roman" w:eastAsia="Times New Roman" w:hAnsi="Times New Roman" w:cs="Times New Roman"/>
          <w:b/>
          <w:color w:val="E57100"/>
          <w:sz w:val="26"/>
        </w:rPr>
        <w:t xml:space="preserve"> </w:t>
      </w:r>
    </w:p>
    <w:p w14:paraId="3B9334A0" w14:textId="77777777" w:rsidR="002F577D" w:rsidRDefault="00000000">
      <w:pPr>
        <w:spacing w:after="0" w:line="259" w:lineRule="auto"/>
        <w:ind w:left="0" w:firstLine="0"/>
      </w:pPr>
      <w:r>
        <w:rPr>
          <w:noProof/>
        </w:rPr>
        <mc:AlternateContent>
          <mc:Choice Requires="wpg">
            <w:drawing>
              <wp:inline distT="0" distB="0" distL="0" distR="0" wp14:anchorId="32005F9E" wp14:editId="53610A3D">
                <wp:extent cx="1829435" cy="7620"/>
                <wp:effectExtent l="0" t="0" r="0" b="0"/>
                <wp:docPr id="3691" name="Group 3691"/>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4230" name="Shape 423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91" style="width:144.05pt;height:0.599976pt;mso-position-horizontal-relative:char;mso-position-vertical-relative:line" coordsize="18294,76">
                <v:shape id="Shape 4231"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1956B379" w14:textId="77777777" w:rsidR="002F577D" w:rsidRDefault="00000000">
      <w:pPr>
        <w:pStyle w:val="Heading2"/>
        <w:ind w:left="-5"/>
      </w:pPr>
      <w:r>
        <w:lastRenderedPageBreak/>
        <w:t xml:space="preserve">Verification of permanent address </w:t>
      </w:r>
    </w:p>
    <w:p w14:paraId="2E2FD82A" w14:textId="77777777" w:rsidR="002F577D" w:rsidRDefault="00000000">
      <w:pPr>
        <w:ind w:left="-5"/>
      </w:pPr>
      <w:r>
        <w:t xml:space="preserve">When assessing enrolment applications under the priority order of placement, Clyde Secondary College may ask for supporting documentation to assist them in verifying a student’s permanent residence. For more information, see </w:t>
      </w:r>
      <w:hyperlink r:id="rId17">
        <w:r>
          <w:rPr>
            <w:color w:val="0000FF"/>
            <w:u w:val="single" w:color="0000FF"/>
          </w:rPr>
          <w:t>Determining permanent residence</w:t>
        </w:r>
      </w:hyperlink>
      <w:hyperlink r:id="rId18">
        <w:r>
          <w:t>.</w:t>
        </w:r>
      </w:hyperlink>
      <w:r>
        <w:t xml:space="preserve"> </w:t>
      </w:r>
    </w:p>
    <w:p w14:paraId="7C84875D" w14:textId="77777777" w:rsidR="002F577D" w:rsidRDefault="00000000">
      <w:pPr>
        <w:pStyle w:val="Heading2"/>
        <w:ind w:left="-5"/>
      </w:pPr>
      <w:r>
        <w:t xml:space="preserve">Enrolment on compassionate grounds </w:t>
      </w:r>
    </w:p>
    <w:p w14:paraId="0349FF43" w14:textId="77777777" w:rsidR="002F577D" w:rsidRDefault="00000000">
      <w:pPr>
        <w:spacing w:after="234"/>
        <w:ind w:left="-5"/>
      </w:pPr>
      <w:r>
        <w:t xml:space="preserve">In exceptional circumstances, the Regional Director, </w:t>
      </w:r>
      <w:proofErr w:type="gramStart"/>
      <w:r>
        <w:t>South East</w:t>
      </w:r>
      <w:proofErr w:type="gramEnd"/>
      <w:r>
        <w:t xml:space="preserve"> Victoria Region, may approve a student enrolment at Clyde Secondary College based on compassionate grounds. This is an overarching consideration and does not form part of Clyde Secondary College’s enrolment criteria or priority order of placement. Further</w:t>
      </w:r>
      <w:r>
        <w:rPr>
          <w:color w:val="011A3C"/>
        </w:rPr>
        <w:t xml:space="preserve"> advice and support when considering applications on compassionate grounds is available on the </w:t>
      </w:r>
      <w:hyperlink r:id="rId19" w:anchor="exceptional-circumstances-%E2%80%93-compassionate-grounds">
        <w:r>
          <w:rPr>
            <w:color w:val="0000FF"/>
            <w:u w:val="single" w:color="0000FF"/>
          </w:rPr>
          <w:t xml:space="preserve">Policy and Advisory Library </w:t>
        </w:r>
      </w:hyperlink>
      <w:hyperlink r:id="rId20" w:anchor="exceptional-circumstances-%E2%80%93-compassionate-grounds">
        <w:r>
          <w:rPr>
            <w:color w:val="011A3C"/>
          </w:rPr>
          <w:t>a</w:t>
        </w:r>
      </w:hyperlink>
      <w:r>
        <w:rPr>
          <w:color w:val="011A3C"/>
        </w:rPr>
        <w:t xml:space="preserve">nd from regional staff. </w:t>
      </w:r>
      <w:r>
        <w:rPr>
          <w:b/>
          <w:color w:val="E57100"/>
          <w:sz w:val="26"/>
        </w:rPr>
        <w:t xml:space="preserve"> </w:t>
      </w:r>
    </w:p>
    <w:p w14:paraId="48D26636" w14:textId="77777777" w:rsidR="002F577D" w:rsidRDefault="00000000">
      <w:pPr>
        <w:pStyle w:val="Heading1"/>
        <w:ind w:left="-5"/>
      </w:pPr>
      <w:r>
        <w:t xml:space="preserve">APPEAL PROCESS </w:t>
      </w:r>
    </w:p>
    <w:p w14:paraId="4AA7FA4A" w14:textId="77777777" w:rsidR="002F577D" w:rsidRDefault="00000000">
      <w:pPr>
        <w:spacing w:after="149"/>
        <w:ind w:left="-5"/>
      </w:pPr>
      <w:r>
        <w:t>Parents/carers can appeal against the decision not to approve an enrolment at Clyde Secondary College. This can occur in relation to enrolments at any age or year level. Further information on appeals can be found at</w:t>
      </w:r>
      <w:hyperlink r:id="rId21">
        <w:r>
          <w:t xml:space="preserve"> </w:t>
        </w:r>
      </w:hyperlink>
      <w:hyperlink r:id="rId22">
        <w:r>
          <w:rPr>
            <w:color w:val="0000FF"/>
            <w:u w:val="single" w:color="0000FF"/>
          </w:rPr>
          <w:t>Appealing</w:t>
        </w:r>
      </w:hyperlink>
      <w:hyperlink r:id="rId23">
        <w:r>
          <w:rPr>
            <w:color w:val="0000FF"/>
          </w:rPr>
          <w:t xml:space="preserve"> </w:t>
        </w:r>
      </w:hyperlink>
      <w:hyperlink r:id="rId24">
        <w:r>
          <w:rPr>
            <w:color w:val="0000FF"/>
            <w:u w:val="single" w:color="0000FF"/>
          </w:rPr>
          <w:t>enrolment decisions</w:t>
        </w:r>
      </w:hyperlink>
      <w:hyperlink r:id="rId25">
        <w:r>
          <w:t>.</w:t>
        </w:r>
      </w:hyperlink>
      <w:r>
        <w:t xml:space="preserve"> </w:t>
      </w:r>
    </w:p>
    <w:p w14:paraId="2939BD1B" w14:textId="77777777" w:rsidR="002F577D" w:rsidRDefault="00000000">
      <w:pPr>
        <w:spacing w:after="217" w:line="259" w:lineRule="auto"/>
        <w:ind w:left="0" w:firstLine="0"/>
      </w:pPr>
      <w:r>
        <w:rPr>
          <w:color w:val="5B9BD5"/>
          <w:sz w:val="26"/>
        </w:rPr>
        <w:t xml:space="preserve"> </w:t>
      </w:r>
    </w:p>
    <w:p w14:paraId="27186E95" w14:textId="77777777" w:rsidR="002F577D" w:rsidRDefault="00000000">
      <w:pPr>
        <w:pStyle w:val="Heading1"/>
        <w:spacing w:after="0"/>
        <w:ind w:left="-5"/>
      </w:pPr>
      <w:r>
        <w:t xml:space="preserve">POLICY REVIEW AND APPROVAL </w:t>
      </w:r>
    </w:p>
    <w:tbl>
      <w:tblPr>
        <w:tblStyle w:val="TableGrid"/>
        <w:tblW w:w="9002" w:type="dxa"/>
        <w:tblInd w:w="7" w:type="dxa"/>
        <w:tblCellMar>
          <w:top w:w="50" w:type="dxa"/>
          <w:left w:w="0" w:type="dxa"/>
          <w:bottom w:w="0" w:type="dxa"/>
          <w:right w:w="115" w:type="dxa"/>
        </w:tblCellMar>
        <w:tblLook w:val="04A0" w:firstRow="1" w:lastRow="0" w:firstColumn="1" w:lastColumn="0" w:noHBand="0" w:noVBand="1"/>
      </w:tblPr>
      <w:tblGrid>
        <w:gridCol w:w="3963"/>
        <w:gridCol w:w="5039"/>
      </w:tblGrid>
      <w:tr w:rsidR="002F577D" w14:paraId="20559E23" w14:textId="77777777">
        <w:trPr>
          <w:trHeight w:val="403"/>
        </w:trPr>
        <w:tc>
          <w:tcPr>
            <w:tcW w:w="3963" w:type="dxa"/>
            <w:tcBorders>
              <w:top w:val="single" w:sz="6" w:space="0" w:color="000000"/>
              <w:left w:val="single" w:sz="6" w:space="0" w:color="000000"/>
              <w:bottom w:val="single" w:sz="6" w:space="0" w:color="000000"/>
              <w:right w:val="single" w:sz="6" w:space="0" w:color="000000"/>
            </w:tcBorders>
          </w:tcPr>
          <w:p w14:paraId="6F56FF53" w14:textId="77777777" w:rsidR="002F577D" w:rsidRDefault="00000000">
            <w:pPr>
              <w:spacing w:after="0" w:line="259" w:lineRule="auto"/>
              <w:ind w:left="7" w:firstLine="0"/>
            </w:pPr>
            <w:r>
              <w:t xml:space="preserve">Policy approved by   </w:t>
            </w:r>
          </w:p>
        </w:tc>
        <w:tc>
          <w:tcPr>
            <w:tcW w:w="5039" w:type="dxa"/>
            <w:tcBorders>
              <w:top w:val="single" w:sz="6" w:space="0" w:color="000000"/>
              <w:left w:val="single" w:sz="6" w:space="0" w:color="000000"/>
              <w:bottom w:val="single" w:sz="6" w:space="0" w:color="000000"/>
              <w:right w:val="single" w:sz="6" w:space="0" w:color="000000"/>
            </w:tcBorders>
          </w:tcPr>
          <w:p w14:paraId="778E1201" w14:textId="7F9FBF0C" w:rsidR="002F577D" w:rsidRDefault="009C2E72">
            <w:pPr>
              <w:spacing w:after="0" w:line="259" w:lineRule="auto"/>
              <w:ind w:left="0" w:firstLine="0"/>
            </w:pPr>
            <w:r>
              <w:t xml:space="preserve"> </w:t>
            </w:r>
            <w:r w:rsidR="00000000">
              <w:t xml:space="preserve">Principal </w:t>
            </w:r>
            <w:r>
              <w:t>–</w:t>
            </w:r>
            <w:r w:rsidR="00000000">
              <w:t xml:space="preserve"> </w:t>
            </w:r>
            <w:r>
              <w:t>March 2024</w:t>
            </w:r>
            <w:r w:rsidR="00000000">
              <w:t xml:space="preserve">  </w:t>
            </w:r>
          </w:p>
        </w:tc>
      </w:tr>
      <w:tr w:rsidR="002F577D" w14:paraId="003F4E72" w14:textId="77777777">
        <w:trPr>
          <w:trHeight w:val="634"/>
        </w:trPr>
        <w:tc>
          <w:tcPr>
            <w:tcW w:w="3963" w:type="dxa"/>
            <w:tcBorders>
              <w:top w:val="single" w:sz="6" w:space="0" w:color="000000"/>
              <w:left w:val="single" w:sz="6" w:space="0" w:color="000000"/>
              <w:bottom w:val="single" w:sz="6" w:space="0" w:color="000000"/>
              <w:right w:val="single" w:sz="6" w:space="0" w:color="000000"/>
            </w:tcBorders>
          </w:tcPr>
          <w:p w14:paraId="0FA05C3D" w14:textId="77777777" w:rsidR="002F577D" w:rsidRDefault="00000000">
            <w:pPr>
              <w:spacing w:after="0" w:line="259" w:lineRule="auto"/>
              <w:ind w:left="7" w:firstLine="0"/>
            </w:pPr>
            <w:r>
              <w:t xml:space="preserve">Next scheduled review date  </w:t>
            </w:r>
          </w:p>
        </w:tc>
        <w:tc>
          <w:tcPr>
            <w:tcW w:w="5039" w:type="dxa"/>
            <w:tcBorders>
              <w:top w:val="single" w:sz="6" w:space="0" w:color="000000"/>
              <w:left w:val="single" w:sz="6" w:space="0" w:color="000000"/>
              <w:bottom w:val="single" w:sz="6" w:space="0" w:color="000000"/>
              <w:right w:val="single" w:sz="6" w:space="0" w:color="000000"/>
            </w:tcBorders>
          </w:tcPr>
          <w:p w14:paraId="15FF5A7E" w14:textId="58CF8916" w:rsidR="002F577D" w:rsidRDefault="009C2E72">
            <w:pPr>
              <w:spacing w:after="0" w:line="259" w:lineRule="auto"/>
              <w:ind w:left="0" w:firstLine="0"/>
            </w:pPr>
            <w:r>
              <w:t xml:space="preserve"> March 2028</w:t>
            </w:r>
          </w:p>
        </w:tc>
      </w:tr>
    </w:tbl>
    <w:p w14:paraId="17B12782" w14:textId="77777777" w:rsidR="002F577D" w:rsidRDefault="00000000">
      <w:pPr>
        <w:spacing w:after="112" w:line="259" w:lineRule="auto"/>
        <w:ind w:left="0" w:firstLine="0"/>
      </w:pPr>
      <w:r>
        <w:t xml:space="preserve"> </w:t>
      </w:r>
    </w:p>
    <w:p w14:paraId="024573A2" w14:textId="77777777" w:rsidR="002F577D" w:rsidRDefault="00000000">
      <w:pPr>
        <w:spacing w:after="40" w:line="259" w:lineRule="auto"/>
        <w:ind w:left="0" w:firstLine="0"/>
      </w:pPr>
      <w:r>
        <w:rPr>
          <w:rFonts w:ascii="Times New Roman" w:eastAsia="Times New Roman" w:hAnsi="Times New Roman" w:cs="Times New Roman"/>
          <w:sz w:val="24"/>
        </w:rPr>
        <w:t xml:space="preserve"> </w:t>
      </w:r>
    </w:p>
    <w:p w14:paraId="3D71C1AF" w14:textId="77777777" w:rsidR="002F577D" w:rsidRDefault="00000000">
      <w:pPr>
        <w:spacing w:after="0" w:line="259" w:lineRule="auto"/>
        <w:ind w:left="0" w:firstLine="0"/>
      </w:pPr>
      <w:r>
        <w:rPr>
          <w:color w:val="5B9BD5"/>
          <w:sz w:val="26"/>
        </w:rPr>
        <w:t xml:space="preserve"> </w:t>
      </w:r>
    </w:p>
    <w:sectPr w:rsidR="002F577D">
      <w:footnotePr>
        <w:numRestart w:val="eachPage"/>
      </w:footnotePr>
      <w:pgSz w:w="11906" w:h="16838"/>
      <w:pgMar w:top="720" w:right="719" w:bottom="71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FE69" w14:textId="77777777" w:rsidR="006B6B65" w:rsidRDefault="006B6B65">
      <w:pPr>
        <w:spacing w:after="0" w:line="240" w:lineRule="auto"/>
      </w:pPr>
      <w:r>
        <w:separator/>
      </w:r>
    </w:p>
  </w:endnote>
  <w:endnote w:type="continuationSeparator" w:id="0">
    <w:p w14:paraId="66699843" w14:textId="77777777" w:rsidR="006B6B65" w:rsidRDefault="006B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48B5" w14:textId="77777777" w:rsidR="006B6B65" w:rsidRDefault="006B6B65">
      <w:pPr>
        <w:spacing w:after="0" w:line="247" w:lineRule="auto"/>
        <w:ind w:left="0" w:firstLine="0"/>
      </w:pPr>
      <w:r>
        <w:separator/>
      </w:r>
    </w:p>
  </w:footnote>
  <w:footnote w:type="continuationSeparator" w:id="0">
    <w:p w14:paraId="70E304D1" w14:textId="77777777" w:rsidR="006B6B65" w:rsidRDefault="006B6B65">
      <w:pPr>
        <w:spacing w:after="0" w:line="247" w:lineRule="auto"/>
        <w:ind w:left="0" w:firstLine="0"/>
      </w:pPr>
      <w:r>
        <w:continuationSeparator/>
      </w:r>
    </w:p>
  </w:footnote>
  <w:footnote w:id="1">
    <w:p w14:paraId="5B6064DB" w14:textId="77777777" w:rsidR="002F577D" w:rsidRDefault="00000000">
      <w:pPr>
        <w:pStyle w:val="footnotedescription"/>
      </w:pPr>
      <w:r>
        <w:rPr>
          <w:rStyle w:val="footnotemark"/>
        </w:rPr>
        <w:footnoteRef/>
      </w:r>
      <w:r>
        <w:t xml:space="preserve"> The ‘total number of enrolled students with disability who require extensive adjustments’ includes (but is not necessarily limited to) all enrolled students who attract </w:t>
      </w:r>
      <w:r>
        <w:rPr>
          <w:i/>
        </w:rPr>
        <w:t>Program for Students with Disabilities</w:t>
      </w:r>
      <w:r>
        <w:t xml:space="preserve"> funding or Tier 3 </w:t>
      </w:r>
      <w:r>
        <w:rPr>
          <w:i/>
        </w:rPr>
        <w:t>Disability Inclusion</w:t>
      </w:r>
      <w:r>
        <w:t xml:space="preserve"> funding, regardless of whether those students live in the school zone or meet the specialist enrolment criteria. Clyde Secondary College, in consultation with the regional office, will determine the total number of enrolled students with disability who require extensive adjustments in Term 3 of each school year.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3717"/>
    <w:multiLevelType w:val="hybridMultilevel"/>
    <w:tmpl w:val="524452FA"/>
    <w:lvl w:ilvl="0" w:tplc="B69E5BC0">
      <w:start w:val="1"/>
      <w:numFmt w:val="upperLetter"/>
      <w:lvlText w:val="%1."/>
      <w:lvlJc w:val="left"/>
      <w:pPr>
        <w:ind w:left="1197"/>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1" w:tplc="3E14090C">
      <w:start w:val="1"/>
      <w:numFmt w:val="lowerLetter"/>
      <w:lvlText w:val="%2"/>
      <w:lvlJc w:val="left"/>
      <w:pPr>
        <w:ind w:left="1779"/>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2" w:tplc="654E008A">
      <w:start w:val="1"/>
      <w:numFmt w:val="lowerRoman"/>
      <w:lvlText w:val="%3"/>
      <w:lvlJc w:val="left"/>
      <w:pPr>
        <w:ind w:left="2499"/>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3" w:tplc="1012E3BA">
      <w:start w:val="1"/>
      <w:numFmt w:val="decimal"/>
      <w:lvlText w:val="%4"/>
      <w:lvlJc w:val="left"/>
      <w:pPr>
        <w:ind w:left="3219"/>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4" w:tplc="FC9478FC">
      <w:start w:val="1"/>
      <w:numFmt w:val="lowerLetter"/>
      <w:lvlText w:val="%5"/>
      <w:lvlJc w:val="left"/>
      <w:pPr>
        <w:ind w:left="3939"/>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5" w:tplc="E8E89EEE">
      <w:start w:val="1"/>
      <w:numFmt w:val="lowerRoman"/>
      <w:lvlText w:val="%6"/>
      <w:lvlJc w:val="left"/>
      <w:pPr>
        <w:ind w:left="4659"/>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6" w:tplc="8AC87BF8">
      <w:start w:val="1"/>
      <w:numFmt w:val="decimal"/>
      <w:lvlText w:val="%7"/>
      <w:lvlJc w:val="left"/>
      <w:pPr>
        <w:ind w:left="5379"/>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7" w:tplc="48B4A172">
      <w:start w:val="1"/>
      <w:numFmt w:val="lowerLetter"/>
      <w:lvlText w:val="%8"/>
      <w:lvlJc w:val="left"/>
      <w:pPr>
        <w:ind w:left="6099"/>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8" w:tplc="20907C7A">
      <w:start w:val="1"/>
      <w:numFmt w:val="lowerRoman"/>
      <w:lvlText w:val="%9"/>
      <w:lvlJc w:val="left"/>
      <w:pPr>
        <w:ind w:left="6819"/>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abstractNum>
  <w:abstractNum w:abstractNumId="1" w15:restartNumberingAfterBreak="0">
    <w:nsid w:val="29735861"/>
    <w:multiLevelType w:val="hybridMultilevel"/>
    <w:tmpl w:val="931C279C"/>
    <w:lvl w:ilvl="0" w:tplc="FE86E0BA">
      <w:start w:val="1"/>
      <w:numFmt w:val="lowerRoman"/>
      <w:lvlText w:val="%1."/>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05E90">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3A4700">
      <w:start w:val="1"/>
      <w:numFmt w:val="lowerRoman"/>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28708">
      <w:start w:val="1"/>
      <w:numFmt w:val="decimal"/>
      <w:lvlText w:val="%4"/>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E84C2">
      <w:start w:val="1"/>
      <w:numFmt w:val="lowerLetter"/>
      <w:lvlText w:val="%5"/>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E4BBE">
      <w:start w:val="1"/>
      <w:numFmt w:val="lowerRoman"/>
      <w:lvlText w:val="%6"/>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06B39A">
      <w:start w:val="1"/>
      <w:numFmt w:val="decimal"/>
      <w:lvlText w:val="%7"/>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2677C4">
      <w:start w:val="1"/>
      <w:numFmt w:val="lowerLetter"/>
      <w:lvlText w:val="%8"/>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6B1B8">
      <w:start w:val="1"/>
      <w:numFmt w:val="lowerRoman"/>
      <w:lvlText w:val="%9"/>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28505803">
    <w:abstractNumId w:val="1"/>
  </w:num>
  <w:num w:numId="2" w16cid:durableId="156147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77D"/>
    <w:rsid w:val="002F577D"/>
    <w:rsid w:val="006B6B65"/>
    <w:rsid w:val="009C2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1843B8A"/>
  <w15:docId w15:val="{12EDC0B3-26EE-BA4C-8991-D08FDAAA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9" w:lineRule="auto"/>
      <w:ind w:left="10" w:hanging="10"/>
    </w:pPr>
    <w:rPr>
      <w:rFonts w:ascii="Calibri" w:eastAsia="Calibri" w:hAnsi="Calibri" w:cs="Calibri"/>
      <w:color w:val="000000"/>
      <w:sz w:val="22"/>
      <w:lang w:eastAsia="en-AU" w:bidi="en-AU"/>
    </w:rPr>
  </w:style>
  <w:style w:type="paragraph" w:styleId="Heading1">
    <w:name w:val="heading 1"/>
    <w:next w:val="Normal"/>
    <w:link w:val="Heading1Char"/>
    <w:uiPriority w:val="9"/>
    <w:qFormat/>
    <w:pPr>
      <w:keepNext/>
      <w:keepLines/>
      <w:spacing w:after="57" w:line="259" w:lineRule="auto"/>
      <w:ind w:left="10" w:hanging="10"/>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77" w:line="259" w:lineRule="auto"/>
      <w:ind w:left="10" w:hanging="10"/>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6"/>
    </w:rPr>
  </w:style>
  <w:style w:type="paragraph" w:customStyle="1" w:styleId="footnotedescription">
    <w:name w:val="footnote description"/>
    <w:next w:val="Normal"/>
    <w:link w:val="footnotedescriptionChar"/>
    <w:hidden/>
    <w:pPr>
      <w:spacing w:line="247"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2.education.vic.gov.au/pal/enrolment/guidance/placement-policy" TargetMode="External"/><Relationship Id="rId18" Type="http://schemas.openxmlformats.org/officeDocument/2006/relationships/hyperlink" Target="https://www2.education.vic.gov.au/pal/enrolment/guidance/determining-permanent-residen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2.education.vic.gov.au/pal/enrolment/guidance/appealing-enrolment-decisions" TargetMode="External"/><Relationship Id="rId7" Type="http://schemas.openxmlformats.org/officeDocument/2006/relationships/image" Target="media/image1.png"/><Relationship Id="rId12" Type="http://schemas.openxmlformats.org/officeDocument/2006/relationships/hyperlink" Target="https://www2.education.vic.gov.au/pal/enrolment/guidance/placement-policy" TargetMode="External"/><Relationship Id="rId17" Type="http://schemas.openxmlformats.org/officeDocument/2006/relationships/hyperlink" Target="https://www2.education.vic.gov.au/pal/enrolment/guidance/determining-permanent-residence" TargetMode="External"/><Relationship Id="rId25" Type="http://schemas.openxmlformats.org/officeDocument/2006/relationships/hyperlink" Target="https://www2.education.vic.gov.au/pal/enrolment/guidance/appealing-enrolment-decisions" TargetMode="External"/><Relationship Id="rId2" Type="http://schemas.openxmlformats.org/officeDocument/2006/relationships/styles" Target="styles.xml"/><Relationship Id="rId16" Type="http://schemas.openxmlformats.org/officeDocument/2006/relationships/hyperlink" Target="https://www2.education.vic.gov.au/pal/enrolment/guidance/placement-policy" TargetMode="External"/><Relationship Id="rId20" Type="http://schemas.openxmlformats.org/officeDocument/2006/relationships/hyperlink" Target="https://www2.education.vic.gov.au/pal/enrolment/guidance/placement-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enrolment/guidance/placement-policy" TargetMode="External"/><Relationship Id="rId24" Type="http://schemas.openxmlformats.org/officeDocument/2006/relationships/hyperlink" Target="https://www2.education.vic.gov.au/pal/enrolment/guidance/appealing-enrolment-decisions" TargetMode="External"/><Relationship Id="rId5" Type="http://schemas.openxmlformats.org/officeDocument/2006/relationships/footnotes" Target="footnotes.xml"/><Relationship Id="rId15" Type="http://schemas.openxmlformats.org/officeDocument/2006/relationships/hyperlink" Target="https://www2.education.vic.gov.au/pal/enrolment/guidance/placement-policy" TargetMode="External"/><Relationship Id="rId23" Type="http://schemas.openxmlformats.org/officeDocument/2006/relationships/hyperlink" Target="https://www2.education.vic.gov.au/pal/enrolment/guidance/appealing-enrolment-decisions" TargetMode="External"/><Relationship Id="rId10" Type="http://schemas.openxmlformats.org/officeDocument/2006/relationships/hyperlink" Target="https://www2.education.vic.gov.au/pal/enrolment/guidance/enrolment-specialist-schools" TargetMode="External"/><Relationship Id="rId19" Type="http://schemas.openxmlformats.org/officeDocument/2006/relationships/hyperlink" Target="https://www2.education.vic.gov.au/pal/enrolment/guidance/placement-policy" TargetMode="External"/><Relationship Id="rId4" Type="http://schemas.openxmlformats.org/officeDocument/2006/relationships/webSettings" Target="webSettings.xml"/><Relationship Id="rId9" Type="http://schemas.openxmlformats.org/officeDocument/2006/relationships/hyperlink" Target="https://www2.education.vic.gov.au/pal/enrolment/guidance/enrolment-specialist-schools" TargetMode="External"/><Relationship Id="rId14" Type="http://schemas.openxmlformats.org/officeDocument/2006/relationships/hyperlink" Target="https://www2.education.vic.gov.au/pal/enrolment/guidance/placement-policy" TargetMode="External"/><Relationship Id="rId22" Type="http://schemas.openxmlformats.org/officeDocument/2006/relationships/hyperlink" Target="https://www2.education.vic.gov.au/pal/enrolment/guidance/appealing-enrolment-decisio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Prades, Kondilo K</dc:creator>
  <cp:keywords/>
  <cp:lastModifiedBy>Amanda Cordeiro</cp:lastModifiedBy>
  <cp:revision>2</cp:revision>
  <dcterms:created xsi:type="dcterms:W3CDTF">2024-03-11T21:27:00Z</dcterms:created>
  <dcterms:modified xsi:type="dcterms:W3CDTF">2024-03-11T21:27:00Z</dcterms:modified>
</cp:coreProperties>
</file>